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14A8" w14:textId="350C7710" w:rsidR="003A6274" w:rsidRPr="00696BA0" w:rsidRDefault="003A6274" w:rsidP="003A6274">
      <w:pPr>
        <w:pStyle w:val="Heading1"/>
      </w:pPr>
      <w:r>
        <w:t xml:space="preserve">Overview of </w:t>
      </w:r>
      <w:r w:rsidR="0009031D">
        <w:t>L</w:t>
      </w:r>
      <w:r>
        <w:t>earning</w:t>
      </w:r>
    </w:p>
    <w:p w14:paraId="519A5955" w14:textId="741D2F5B" w:rsidR="003A6274" w:rsidRPr="00B222E8" w:rsidRDefault="003A6274" w:rsidP="003A6274">
      <w:pPr>
        <w:rPr>
          <w:highlight w:val="yellow"/>
        </w:rPr>
      </w:pPr>
      <w:r w:rsidRPr="00EF7515">
        <w:t>In th</w:t>
      </w:r>
      <w:r>
        <w:t xml:space="preserve">e Stage </w:t>
      </w:r>
      <w:r w:rsidR="00A10E63">
        <w:t>3</w:t>
      </w:r>
      <w:r>
        <w:t xml:space="preserve"> </w:t>
      </w:r>
      <w:r w:rsidRPr="00EF7515">
        <w:t xml:space="preserve">learning sequence </w:t>
      </w:r>
      <w:r w:rsidRPr="00B222E8">
        <w:t xml:space="preserve">students </w:t>
      </w:r>
      <w:r w:rsidR="00232A93" w:rsidRPr="00B222E8">
        <w:t>us</w:t>
      </w:r>
      <w:r w:rsidR="00B222E8" w:rsidRPr="00B222E8">
        <w:t>e</w:t>
      </w:r>
      <w:r w:rsidR="00232A93" w:rsidRPr="00B222E8">
        <w:t xml:space="preserve"> geographical tools to build understanding of the </w:t>
      </w:r>
      <w:r w:rsidR="00B222E8" w:rsidRPr="00B222E8">
        <w:t>natural features of the environment of the Hawkesbury-Nepean Valley</w:t>
      </w:r>
      <w:r w:rsidR="00E44B6E">
        <w:t xml:space="preserve">, </w:t>
      </w:r>
      <w:r w:rsidR="00BA6142">
        <w:t xml:space="preserve">the </w:t>
      </w:r>
      <w:r w:rsidR="00E44B6E">
        <w:t xml:space="preserve">effects </w:t>
      </w:r>
      <w:r w:rsidR="00BA6142">
        <w:t xml:space="preserve">of these features </w:t>
      </w:r>
      <w:r w:rsidR="00E44B6E">
        <w:t xml:space="preserve">on the </w:t>
      </w:r>
      <w:r w:rsidR="00B222E8" w:rsidRPr="00B222E8">
        <w:t>flooding of places</w:t>
      </w:r>
      <w:r w:rsidR="00E44B6E">
        <w:t xml:space="preserve"> and </w:t>
      </w:r>
      <w:r w:rsidR="00B222E8" w:rsidRPr="00B222E8">
        <w:t>the impacts of floods on people in those places. Students investigate water movement and flows through 3D modelling and apply th</w:t>
      </w:r>
      <w:r w:rsidR="00BA6142">
        <w:t>eir</w:t>
      </w:r>
      <w:r w:rsidR="00B222E8" w:rsidRPr="00B222E8">
        <w:t xml:space="preserve"> understanding when investigating </w:t>
      </w:r>
      <w:r w:rsidR="00E44B6E">
        <w:t>interconnections in the</w:t>
      </w:r>
      <w:r w:rsidR="00B222E8" w:rsidRPr="00B222E8">
        <w:t xml:space="preserve"> Hawkesbury-Nepean Valley. Students interpret geographical data and information presented in maps, graphs, videos and infographics to further their understanding of influences of the natural environment on places and people, with a focus on flood risk and flood preparedness actions. In response to their inquiry, students design and develop a game that reinforces good decisions for flood preparedness and good choices for flood safety. </w:t>
      </w:r>
      <w:r w:rsidRPr="00B222E8">
        <w:t xml:space="preserve">There are three learning sequences, each containing </w:t>
      </w:r>
      <w:r w:rsidR="00B222E8" w:rsidRPr="00B222E8">
        <w:t>three or</w:t>
      </w:r>
      <w:r w:rsidRPr="00B222E8">
        <w:t xml:space="preserve"> four teaching and learning activities that support Stage </w:t>
      </w:r>
      <w:r w:rsidR="00A10E63" w:rsidRPr="00B222E8">
        <w:t>3</w:t>
      </w:r>
      <w:r w:rsidRPr="00B222E8">
        <w:t xml:space="preserve"> syllabus outcomes.</w:t>
      </w:r>
    </w:p>
    <w:p w14:paraId="2961E5BA" w14:textId="2D5BE833" w:rsidR="003A6274" w:rsidRPr="00696BA0" w:rsidRDefault="003A6274" w:rsidP="003A6274">
      <w:pPr>
        <w:pStyle w:val="Heading2"/>
      </w:pPr>
      <w:r>
        <w:t xml:space="preserve">Geography K-10 </w:t>
      </w:r>
      <w:r w:rsidR="0009031D">
        <w:t>S</w:t>
      </w:r>
      <w:r>
        <w:t xml:space="preserve">yllabus </w:t>
      </w:r>
      <w:r w:rsidR="0009031D">
        <w:t>O</w:t>
      </w:r>
      <w:r w:rsidRPr="003A6274">
        <w:t>utcomes</w:t>
      </w:r>
    </w:p>
    <w:p w14:paraId="659881B2" w14:textId="77777777" w:rsidR="001D7242" w:rsidRPr="001D7242" w:rsidRDefault="001D7242" w:rsidP="001D7242">
      <w:pPr>
        <w:pStyle w:val="ListParagraph"/>
      </w:pPr>
      <w:r w:rsidRPr="001D7242">
        <w:rPr>
          <w:rStyle w:val="Strong"/>
        </w:rPr>
        <w:t>GE3-1</w:t>
      </w:r>
      <w:r w:rsidRPr="001D7242">
        <w:t xml:space="preserve"> describes the diverse features and characteristics of places and environments</w:t>
      </w:r>
    </w:p>
    <w:p w14:paraId="26B46D8C" w14:textId="77777777" w:rsidR="001D7242" w:rsidRPr="001D7242" w:rsidRDefault="001D7242" w:rsidP="001D7242">
      <w:pPr>
        <w:pStyle w:val="ListParagraph"/>
      </w:pPr>
      <w:r w:rsidRPr="001D7242">
        <w:rPr>
          <w:rStyle w:val="Strong"/>
        </w:rPr>
        <w:t>GE3-2</w:t>
      </w:r>
      <w:r w:rsidRPr="001D7242">
        <w:t xml:space="preserve"> explains interactions and connections between people, places and environments</w:t>
      </w:r>
    </w:p>
    <w:p w14:paraId="70536866" w14:textId="77777777" w:rsidR="001D7242" w:rsidRDefault="001D7242" w:rsidP="001D7242">
      <w:pPr>
        <w:pStyle w:val="ListParagraph"/>
        <w:rPr>
          <w:rStyle w:val="Strong"/>
          <w:b w:val="0"/>
          <w:bCs w:val="0"/>
        </w:rPr>
      </w:pPr>
      <w:r w:rsidRPr="001D7242">
        <w:rPr>
          <w:rStyle w:val="Strong"/>
        </w:rPr>
        <w:t>GE3-4</w:t>
      </w:r>
      <w:r w:rsidRPr="001D7242">
        <w:t xml:space="preserve"> acquires, processes and communicates geographical information using geographical tools for inquiry</w:t>
      </w:r>
      <w:r w:rsidRPr="001D7242">
        <w:rPr>
          <w:rStyle w:val="Strong"/>
        </w:rPr>
        <w:t xml:space="preserve"> </w:t>
      </w:r>
    </w:p>
    <w:p w14:paraId="653965D5" w14:textId="3BCAAE1F" w:rsidR="003A6274" w:rsidRDefault="003A6274" w:rsidP="001D7242">
      <w:pPr>
        <w:pStyle w:val="Heading2"/>
      </w:pPr>
      <w:r w:rsidRPr="00EF7515">
        <w:t xml:space="preserve">Summary of </w:t>
      </w:r>
      <w:r w:rsidR="0009031D">
        <w:t>T</w:t>
      </w:r>
      <w:r w:rsidRPr="00EF7515">
        <w:t xml:space="preserve">eaching and </w:t>
      </w:r>
      <w:r w:rsidR="0009031D">
        <w:t>L</w:t>
      </w:r>
      <w:r w:rsidRPr="00EF7515">
        <w:t xml:space="preserve">earning </w:t>
      </w:r>
      <w:r w:rsidR="0009031D">
        <w:t>A</w:t>
      </w:r>
      <w:r w:rsidRPr="00EF7515">
        <w:t>ctivities</w:t>
      </w:r>
      <w:r w:rsidR="00860010">
        <w:t xml:space="preserve"> </w:t>
      </w:r>
    </w:p>
    <w:tbl>
      <w:tblPr>
        <w:tblStyle w:val="NSWSESTableStyle1"/>
        <w:tblW w:w="0" w:type="auto"/>
        <w:tblLook w:val="04A0" w:firstRow="1" w:lastRow="0" w:firstColumn="1" w:lastColumn="0" w:noHBand="0" w:noVBand="1"/>
      </w:tblPr>
      <w:tblGrid>
        <w:gridCol w:w="2265"/>
        <w:gridCol w:w="2729"/>
        <w:gridCol w:w="2730"/>
        <w:gridCol w:w="2730"/>
      </w:tblGrid>
      <w:tr w:rsidR="003A6274" w:rsidRPr="00F5081A" w14:paraId="30235931" w14:textId="77777777" w:rsidTr="003A6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sdt>
            <w:sdtPr>
              <w:tag w:val="goog_rdk_4"/>
              <w:id w:val="500550585"/>
            </w:sdtPr>
            <w:sdtEndPr/>
            <w:sdtContent>
              <w:p w14:paraId="724A0666" w14:textId="77777777" w:rsidR="003A6274" w:rsidRPr="00F5081A" w:rsidRDefault="003A6274" w:rsidP="00572EA8">
                <w:r w:rsidRPr="00F5081A">
                  <w:t>SEQUENCE</w:t>
                </w:r>
              </w:p>
            </w:sdtContent>
          </w:sdt>
        </w:tc>
        <w:tc>
          <w:tcPr>
            <w:tcW w:w="2729" w:type="dxa"/>
            <w:tcBorders>
              <w:bottom w:val="nil"/>
            </w:tcBorders>
          </w:tcPr>
          <w:sdt>
            <w:sdtPr>
              <w:tag w:val="goog_rdk_5"/>
              <w:id w:val="-850955272"/>
            </w:sdtPr>
            <w:sdtEndPr/>
            <w:sdtContent>
              <w:p w14:paraId="1CE47CF4" w14:textId="77777777" w:rsidR="003A6274" w:rsidRPr="00F5081A" w:rsidRDefault="003A6274" w:rsidP="00572EA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ACTIVITIES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6"/>
              <w:id w:val="1009490744"/>
            </w:sdtPr>
            <w:sdtEndPr/>
            <w:sdtContent>
              <w:p w14:paraId="049A66E6" w14:textId="77777777" w:rsidR="003A6274" w:rsidRPr="00F5081A" w:rsidRDefault="003A6274" w:rsidP="00572EA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INQUIRY QUESTIONS</w:t>
                </w:r>
              </w:p>
            </w:sdtContent>
          </w:sdt>
        </w:tc>
        <w:tc>
          <w:tcPr>
            <w:tcW w:w="2730" w:type="dxa"/>
            <w:tcBorders>
              <w:bottom w:val="nil"/>
            </w:tcBorders>
          </w:tcPr>
          <w:sdt>
            <w:sdtPr>
              <w:tag w:val="goog_rdk_7"/>
              <w:id w:val="638376073"/>
            </w:sdtPr>
            <w:sdtEndPr/>
            <w:sdtContent>
              <w:p w14:paraId="326A3942" w14:textId="77777777" w:rsidR="003A6274" w:rsidRPr="00F5081A" w:rsidRDefault="003A6274" w:rsidP="00572EA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5081A">
                  <w:t>GEOGRAPHICAL TOOLS</w:t>
                </w:r>
              </w:p>
            </w:sdtContent>
          </w:sdt>
        </w:tc>
      </w:tr>
      <w:tr w:rsidR="003A6274" w:rsidRPr="00C90647" w14:paraId="717239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8"/>
              <w:id w:val="1721789013"/>
            </w:sdtPr>
            <w:sdtEndPr/>
            <w:sdtContent>
              <w:p w14:paraId="572179D3" w14:textId="69AA4427" w:rsidR="003A6274" w:rsidRPr="0061618A" w:rsidRDefault="003A6274" w:rsidP="003A4324">
                <w:pPr>
                  <w:spacing w:after="120" w:line="240" w:lineRule="auto"/>
                </w:pPr>
                <w:r w:rsidRPr="003A6274">
                  <w:rPr>
                    <w:rStyle w:val="Strong"/>
                  </w:rPr>
                  <w:t xml:space="preserve">1. </w:t>
                </w:r>
                <w:r w:rsidR="001F60ED">
                  <w:rPr>
                    <w:rStyle w:val="Strong"/>
                  </w:rPr>
                  <w:t>Natural Environment of the Hawkesbury-Nepean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4B895E" w14:textId="1CDFC5D0" w:rsidR="003A6274" w:rsidRPr="0061618A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1.1 </w:t>
            </w:r>
            <w:r w:rsidR="001F60ED">
              <w:t xml:space="preserve">Features of the Hawkesbury-Nepean </w:t>
            </w:r>
            <w:r w:rsidR="00EE01BF">
              <w:t xml:space="preserve">River and its </w:t>
            </w:r>
            <w:r w:rsidR="003F5D19">
              <w:t>C</w:t>
            </w:r>
            <w:r w:rsidR="001F60ED">
              <w:t>atchment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65530B0" w14:textId="77777777" w:rsidR="001F60ED" w:rsidRPr="001F60ED" w:rsidRDefault="001F60ED" w:rsidP="003A4324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7B50">
              <w:rPr>
                <w:color w:val="000000" w:themeColor="text1"/>
              </w:rPr>
              <w:t>Where is the H</w:t>
            </w:r>
            <w:r>
              <w:rPr>
                <w:color w:val="000000" w:themeColor="text1"/>
              </w:rPr>
              <w:t>awkesbury-Nepean Valley</w:t>
            </w:r>
            <w:r w:rsidRPr="00297B50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</w:t>
            </w:r>
          </w:p>
          <w:p w14:paraId="30376A22" w14:textId="79DD355D" w:rsidR="003A6274" w:rsidRPr="00F5081A" w:rsidRDefault="001F60ED" w:rsidP="003A4324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7BE">
              <w:rPr>
                <w:color w:val="000000" w:themeColor="text1"/>
              </w:rPr>
              <w:t xml:space="preserve">What are </w:t>
            </w:r>
            <w:r>
              <w:rPr>
                <w:color w:val="000000" w:themeColor="text1"/>
              </w:rPr>
              <w:t>the features of its catchment?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83C1E0B" w14:textId="5B7CD88C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067C">
              <w:rPr>
                <w:color w:val="000000" w:themeColor="text1"/>
              </w:rPr>
              <w:t xml:space="preserve">Visual representations – </w:t>
            </w:r>
            <w:r w:rsidR="00270EDF">
              <w:rPr>
                <w:color w:val="000000" w:themeColor="text1"/>
              </w:rPr>
              <w:t>photographs</w:t>
            </w:r>
          </w:p>
          <w:p w14:paraId="2D97527B" w14:textId="18559CC6" w:rsidR="00270EDF" w:rsidRDefault="00270EDF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Maps – </w:t>
            </w:r>
            <w:r w:rsidR="001F60ED">
              <w:rPr>
                <w:color w:val="000000" w:themeColor="text1"/>
              </w:rPr>
              <w:t>online, small</w:t>
            </w:r>
            <w:r>
              <w:rPr>
                <w:color w:val="000000" w:themeColor="text1"/>
              </w:rPr>
              <w:t xml:space="preserve"> scale</w:t>
            </w:r>
          </w:p>
          <w:p w14:paraId="58EF5A90" w14:textId="03B88F24" w:rsidR="00911CAF" w:rsidRPr="00C90647" w:rsidRDefault="00270EDF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satellite images</w:t>
            </w:r>
          </w:p>
        </w:tc>
      </w:tr>
      <w:tr w:rsidR="003A6274" w:rsidRPr="00EF6D46" w14:paraId="68A5CC7B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1C7DBD" w14:textId="77777777" w:rsidR="003A6274" w:rsidRDefault="003A6274" w:rsidP="003A4324">
            <w:pPr>
              <w:spacing w:after="120" w:line="240" w:lineRule="auto"/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E10A349" w14:textId="189906EF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 </w:t>
            </w:r>
            <w:r w:rsidR="001F60ED">
              <w:rPr>
                <w:color w:val="000000" w:themeColor="text1"/>
              </w:rPr>
              <w:t>Crumpled Paper Catchment Model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550960" w14:textId="7FFD0BA6" w:rsidR="003A6274" w:rsidRPr="001F60ED" w:rsidRDefault="001F60ED" w:rsidP="003A4324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does water flow and behave in a catchment?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B34777" w14:textId="02AD1F0E" w:rsidR="00270EDF" w:rsidRDefault="00270EDF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E067C">
              <w:rPr>
                <w:color w:val="000000" w:themeColor="text1"/>
              </w:rPr>
              <w:t xml:space="preserve">Visual representations – </w:t>
            </w:r>
            <w:r w:rsidR="001F60ED">
              <w:rPr>
                <w:color w:val="000000" w:themeColor="text1"/>
              </w:rPr>
              <w:t>3D modelling</w:t>
            </w:r>
          </w:p>
          <w:p w14:paraId="2C558A42" w14:textId="5ED011C6" w:rsidR="00911CAF" w:rsidRPr="00EF6D46" w:rsidRDefault="00911CAF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Worksheet </w:t>
            </w:r>
            <w:r w:rsidR="00AA66F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</w:t>
            </w:r>
            <w:r w:rsidR="001F60ED">
              <w:rPr>
                <w:color w:val="000000" w:themeColor="text1"/>
              </w:rPr>
              <w:t>procedure, diagrams</w:t>
            </w:r>
          </w:p>
        </w:tc>
      </w:tr>
      <w:tr w:rsidR="003A6274" w:rsidRPr="0061618A" w14:paraId="494837A2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tag w:val="goog_rdk_19"/>
              <w:id w:val="-441847324"/>
              <w:showingPlcHdr/>
            </w:sdtPr>
            <w:sdtEndPr/>
            <w:sdtContent>
              <w:p w14:paraId="3BA287F7" w14:textId="77777777" w:rsidR="003A6274" w:rsidRPr="0061618A" w:rsidRDefault="003A6274" w:rsidP="003A4324">
                <w:pPr>
                  <w:spacing w:after="120" w:line="240" w:lineRule="auto"/>
                </w:pPr>
                <w:r>
                  <w:t xml:space="preserve">     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546DD2E" w14:textId="5DDDC582" w:rsidR="003A6274" w:rsidRPr="0061618A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 </w:t>
            </w:r>
            <w:r w:rsidR="001F60ED">
              <w:t xml:space="preserve">Unique </w:t>
            </w:r>
            <w:r w:rsidR="00572EA8">
              <w:t>L</w:t>
            </w:r>
            <w:r w:rsidR="001F60ED">
              <w:t>andscape of the Hawkesbury-Nepean</w:t>
            </w:r>
            <w:r w:rsidR="00572EA8">
              <w:t xml:space="preserve">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DB70C1" w14:textId="77777777" w:rsidR="001F60ED" w:rsidRDefault="001F60ED" w:rsidP="003A4324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are the unique natural features of the Hawkesbury-Nepean Valley? </w:t>
            </w:r>
          </w:p>
          <w:p w14:paraId="6AA00E5E" w14:textId="41FEA21C" w:rsidR="003A6274" w:rsidRPr="00F5081A" w:rsidRDefault="001F60ED" w:rsidP="003A4324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7B50">
              <w:rPr>
                <w:color w:val="000000" w:themeColor="text1"/>
              </w:rPr>
              <w:t xml:space="preserve">How do </w:t>
            </w:r>
            <w:r>
              <w:rPr>
                <w:color w:val="000000" w:themeColor="text1"/>
              </w:rPr>
              <w:t xml:space="preserve">they </w:t>
            </w:r>
            <w:r w:rsidRPr="00297B50">
              <w:rPr>
                <w:color w:val="000000" w:themeColor="text1"/>
              </w:rPr>
              <w:t>affect river flows in flood</w:t>
            </w:r>
            <w:r w:rsidR="00EE01BF">
              <w:rPr>
                <w:color w:val="000000" w:themeColor="text1"/>
              </w:rPr>
              <w:t>s</w:t>
            </w:r>
            <w:r w:rsidRPr="00297B50">
              <w:rPr>
                <w:color w:val="000000" w:themeColor="text1"/>
              </w:rPr>
              <w:t>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4BD7F56" w14:textId="77777777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Visual representations – </w:t>
            </w:r>
            <w:r w:rsidR="00911CAF">
              <w:rPr>
                <w:color w:val="000000" w:themeColor="text1"/>
              </w:rPr>
              <w:t>video,</w:t>
            </w:r>
            <w:r w:rsidR="00627721">
              <w:rPr>
                <w:color w:val="000000" w:themeColor="text1"/>
              </w:rPr>
              <w:t xml:space="preserve"> graphic</w:t>
            </w:r>
          </w:p>
          <w:p w14:paraId="0B4EDE39" w14:textId="77777777" w:rsidR="00627721" w:rsidRDefault="00627721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Fieldwork – school grounds</w:t>
            </w:r>
          </w:p>
          <w:p w14:paraId="19541221" w14:textId="465CB3CE" w:rsidR="00627721" w:rsidRPr="0061618A" w:rsidRDefault="00627721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Worksheet 2 – cause and effect table</w:t>
            </w:r>
          </w:p>
        </w:tc>
      </w:tr>
      <w:tr w:rsidR="003A6274" w14:paraId="65B1CC1B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28B0BCE" w14:textId="77777777" w:rsidR="003A6274" w:rsidRDefault="003A6274" w:rsidP="003A4324">
            <w:pPr>
              <w:spacing w:after="120" w:line="240" w:lineRule="auto"/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B50C263" w14:textId="540F35D4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1.4 </w:t>
            </w:r>
            <w:r w:rsidR="001F60ED">
              <w:t>Natural Warning Signs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21CD251" w14:textId="77777777" w:rsidR="001F60ED" w:rsidRPr="001F60ED" w:rsidRDefault="001F60ED" w:rsidP="003A4324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97B50">
              <w:rPr>
                <w:color w:val="000000" w:themeColor="text1"/>
              </w:rPr>
              <w:t>What are the natural warning signs of floods?</w:t>
            </w:r>
            <w:r>
              <w:rPr>
                <w:color w:val="000000" w:themeColor="text1"/>
              </w:rPr>
              <w:t xml:space="preserve"> </w:t>
            </w:r>
          </w:p>
          <w:p w14:paraId="443E472D" w14:textId="6DD3BB26" w:rsidR="003A6274" w:rsidRPr="001F60ED" w:rsidRDefault="001F60ED" w:rsidP="003A4324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Where can people obtain information?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049AC1" w14:textId="17899B19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Visual representations – </w:t>
            </w:r>
            <w:r w:rsidR="00627721">
              <w:rPr>
                <w:color w:val="000000" w:themeColor="text1"/>
              </w:rPr>
              <w:t>picture book, mime, soundscape</w:t>
            </w:r>
          </w:p>
        </w:tc>
      </w:tr>
      <w:tr w:rsidR="003A6274" w14:paraId="71D39382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highlight w:val="yellow"/>
              </w:rPr>
              <w:tag w:val="goog_rdk_33"/>
              <w:id w:val="1110623347"/>
            </w:sdtPr>
            <w:sdtEndPr/>
            <w:sdtContent>
              <w:p w14:paraId="70F01A85" w14:textId="14A5385F" w:rsidR="003A6274" w:rsidRPr="00911CAF" w:rsidRDefault="003A6274" w:rsidP="003A4324">
                <w:pPr>
                  <w:spacing w:after="120" w:line="240" w:lineRule="auto"/>
                  <w:rPr>
                    <w:highlight w:val="yellow"/>
                  </w:rPr>
                </w:pPr>
                <w:r w:rsidRPr="000B62F1">
                  <w:rPr>
                    <w:rStyle w:val="Strong"/>
                  </w:rPr>
                  <w:t xml:space="preserve">2. </w:t>
                </w:r>
                <w:r w:rsidR="00E04690" w:rsidRPr="00E04690">
                  <w:rPr>
                    <w:rStyle w:val="Strong"/>
                  </w:rPr>
                  <w:t>People and Floods in the Hawkesbury-Nepean</w:t>
                </w:r>
                <w:r w:rsidR="00EE01BF">
                  <w:rPr>
                    <w:rStyle w:val="Strong"/>
                  </w:rPr>
                  <w:t xml:space="preserve"> Valley</w:t>
                </w:r>
              </w:p>
            </w:sdtContent>
          </w:sdt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36640A" w14:textId="05C35E6F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2.1 </w:t>
            </w:r>
            <w:r w:rsidR="00E04690">
              <w:rPr>
                <w:color w:val="000000" w:themeColor="text1"/>
              </w:rPr>
              <w:t>History of Floods in the Hawkesbury-Nepean</w:t>
            </w:r>
            <w:r w:rsidR="00EE01BF">
              <w:rPr>
                <w:color w:val="000000" w:themeColor="text1"/>
              </w:rPr>
              <w:t xml:space="preserve"> Valley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FA8BA10" w14:textId="7FE61B10" w:rsidR="003A6274" w:rsidRPr="00C90647" w:rsidRDefault="00E04690" w:rsidP="003A4324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516">
              <w:rPr>
                <w:color w:val="000000" w:themeColor="text1"/>
              </w:rPr>
              <w:t xml:space="preserve">What is the history of floods in the </w:t>
            </w:r>
            <w:r>
              <w:rPr>
                <w:color w:val="000000" w:themeColor="text1"/>
              </w:rPr>
              <w:t>Hawkesbury-Nepean Valley?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EAE69C0" w14:textId="06779AE4" w:rsidR="008F362D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 xml:space="preserve">Visual representations – </w:t>
            </w:r>
            <w:r w:rsidR="00E04690">
              <w:rPr>
                <w:color w:val="000000" w:themeColor="text1"/>
              </w:rPr>
              <w:t xml:space="preserve">video, </w:t>
            </w:r>
            <w:r w:rsidR="008F362D">
              <w:rPr>
                <w:color w:val="000000" w:themeColor="text1"/>
              </w:rPr>
              <w:t>graphic organiser</w:t>
            </w:r>
          </w:p>
          <w:p w14:paraId="76F6B6E6" w14:textId="357DDD44" w:rsidR="000B62F1" w:rsidRDefault="008F362D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Worksheet 3 – </w:t>
            </w:r>
            <w:r w:rsidR="00E04690">
              <w:rPr>
                <w:color w:val="000000" w:themeColor="text1"/>
              </w:rPr>
              <w:t>consequences wheel</w:t>
            </w:r>
          </w:p>
        </w:tc>
      </w:tr>
      <w:tr w:rsidR="003A6274" w14:paraId="7B8FBDB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CEC91A" w14:textId="77777777" w:rsidR="003A6274" w:rsidRPr="00911CAF" w:rsidRDefault="003A6274" w:rsidP="003A4324">
            <w:pPr>
              <w:spacing w:after="120" w:line="240" w:lineRule="auto"/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405D36D" w14:textId="06561480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2.2 </w:t>
            </w:r>
            <w:r w:rsidR="00E04690">
              <w:rPr>
                <w:color w:val="000000" w:themeColor="text1"/>
              </w:rPr>
              <w:t xml:space="preserve">How </w:t>
            </w:r>
            <w:r w:rsidR="00BF2E30">
              <w:rPr>
                <w:color w:val="000000" w:themeColor="text1"/>
              </w:rPr>
              <w:t xml:space="preserve">the Experts </w:t>
            </w:r>
            <w:r w:rsidR="00E04690">
              <w:rPr>
                <w:color w:val="000000" w:themeColor="text1"/>
              </w:rPr>
              <w:t>Know it Will Flood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64ED4A3" w14:textId="77777777" w:rsidR="00E04690" w:rsidRDefault="00E04690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do we know that the Hawkesbury-Nepean Valley will flood again? </w:t>
            </w:r>
          </w:p>
          <w:p w14:paraId="43F5E099" w14:textId="77777777" w:rsidR="00E04690" w:rsidRDefault="00E04690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the pattern of flood cycles in the Hawkesbury-Nepean Valley? </w:t>
            </w:r>
          </w:p>
          <w:p w14:paraId="6E8C9C11" w14:textId="18E5D3AA" w:rsidR="003A6274" w:rsidRPr="00C90647" w:rsidRDefault="00E04690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flood and geographical data acquired, processed and communicated?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0D9E592" w14:textId="77777777" w:rsidR="00570F03" w:rsidRDefault="00570F03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infographic</w:t>
            </w:r>
          </w:p>
          <w:p w14:paraId="234C1D1B" w14:textId="139CC90E" w:rsidR="003A6274" w:rsidRDefault="000B62F1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Maps – </w:t>
            </w:r>
            <w:r w:rsidR="008F362D">
              <w:rPr>
                <w:color w:val="000000" w:themeColor="text1"/>
              </w:rPr>
              <w:t>flood maps</w:t>
            </w:r>
          </w:p>
          <w:p w14:paraId="53CC4702" w14:textId="287FD2BC" w:rsidR="00570F03" w:rsidRPr="004F46E1" w:rsidRDefault="00570F03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Graphs and statistics – tables, dot plot graph</w:t>
            </w:r>
          </w:p>
          <w:p w14:paraId="3A05620F" w14:textId="15C3370B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Worksheet </w:t>
            </w:r>
            <w:r w:rsidR="00570F0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– </w:t>
            </w:r>
            <w:r w:rsidR="00570F03">
              <w:rPr>
                <w:color w:val="000000" w:themeColor="text1"/>
              </w:rPr>
              <w:t>data and graphic interpretation</w:t>
            </w:r>
          </w:p>
        </w:tc>
      </w:tr>
      <w:tr w:rsidR="003A6274" w:rsidRPr="00F5081A" w14:paraId="76DED74F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6D7D94" w14:textId="77777777" w:rsidR="003A6274" w:rsidRPr="00911CAF" w:rsidRDefault="003A6274" w:rsidP="003A4324">
            <w:pPr>
              <w:spacing w:after="120" w:line="240" w:lineRule="auto"/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7772DB" w14:textId="3599DEA5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2.3 </w:t>
            </w:r>
            <w:r w:rsidR="008F362D">
              <w:rPr>
                <w:color w:val="000000" w:themeColor="text1"/>
              </w:rPr>
              <w:t>Knowing the Flood Risk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C7DF81B" w14:textId="001F422D" w:rsidR="003A6274" w:rsidRPr="00C90647" w:rsidRDefault="008F362D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our flood risk?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DDEBD7" w14:textId="77777777" w:rsidR="003B6780" w:rsidRDefault="003B6780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Spatial technologies – online flood maps</w:t>
            </w:r>
          </w:p>
          <w:p w14:paraId="422DECB6" w14:textId="00270A42" w:rsidR="003A6274" w:rsidRPr="00F5081A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F46E1">
              <w:rPr>
                <w:color w:val="000000" w:themeColor="text1"/>
              </w:rPr>
              <w:t xml:space="preserve">Worksheet </w:t>
            </w:r>
            <w:r w:rsidR="00C34A24">
              <w:rPr>
                <w:color w:val="000000" w:themeColor="text1"/>
              </w:rPr>
              <w:t>5</w:t>
            </w:r>
            <w:r w:rsidRPr="004F46E1">
              <w:rPr>
                <w:color w:val="000000" w:themeColor="text1"/>
              </w:rPr>
              <w:t xml:space="preserve"> – </w:t>
            </w:r>
            <w:r w:rsidR="003B6780">
              <w:rPr>
                <w:color w:val="000000" w:themeColor="text1"/>
              </w:rPr>
              <w:t>summary table</w:t>
            </w:r>
          </w:p>
        </w:tc>
      </w:tr>
      <w:tr w:rsidR="00C34A24" w:rsidRPr="00F5081A" w14:paraId="0BBE6F9A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D771511" w14:textId="77777777" w:rsidR="00C34A24" w:rsidRPr="00911CAF" w:rsidRDefault="00C34A24" w:rsidP="003A4324">
            <w:pPr>
              <w:spacing w:after="120" w:line="240" w:lineRule="auto"/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C70133A" w14:textId="3C877AFA" w:rsidR="00C34A24" w:rsidRDefault="00C34A2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 Flood Responsibilities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8F6D19" w14:textId="77777777" w:rsidR="00C34A24" w:rsidRPr="00C34A24" w:rsidRDefault="00C34A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83">
              <w:rPr>
                <w:color w:val="000000" w:themeColor="text1"/>
              </w:rPr>
              <w:t xml:space="preserve">Who is responsible for </w:t>
            </w:r>
            <w:r>
              <w:rPr>
                <w:color w:val="000000" w:themeColor="text1"/>
              </w:rPr>
              <w:t xml:space="preserve">flood preparation and response? </w:t>
            </w:r>
          </w:p>
          <w:p w14:paraId="229E810C" w14:textId="0A394EC4" w:rsidR="00C34A24" w:rsidRDefault="00C34A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What can we do to prepare?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5C96F45" w14:textId="537B6349" w:rsidR="00C34A24" w:rsidRDefault="00C34A2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video, gra</w:t>
            </w:r>
            <w:r w:rsidR="003A4324">
              <w:rPr>
                <w:color w:val="000000" w:themeColor="text1"/>
              </w:rPr>
              <w:t xml:space="preserve">phic </w:t>
            </w:r>
            <w:r>
              <w:rPr>
                <w:color w:val="000000" w:themeColor="text1"/>
              </w:rPr>
              <w:t>organiser, ‘rap’</w:t>
            </w:r>
          </w:p>
        </w:tc>
      </w:tr>
      <w:tr w:rsidR="003A6274" w14:paraId="0D900999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DF6DFB1" w14:textId="025D4ED4" w:rsidR="003A6274" w:rsidRPr="00911CAF" w:rsidRDefault="003A6274" w:rsidP="003A4324">
            <w:pPr>
              <w:spacing w:after="120" w:line="240" w:lineRule="auto"/>
              <w:rPr>
                <w:rStyle w:val="Strong"/>
                <w:highlight w:val="yellow"/>
              </w:rPr>
            </w:pPr>
            <w:r w:rsidRPr="00232A93">
              <w:rPr>
                <w:rStyle w:val="Strong"/>
              </w:rPr>
              <w:t xml:space="preserve">3. </w:t>
            </w:r>
            <w:r w:rsidR="0062629D" w:rsidRPr="0062629D">
              <w:rPr>
                <w:rStyle w:val="Strong"/>
              </w:rPr>
              <w:t>Flood Decision Making</w:t>
            </w: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F07C04" w14:textId="5D2EB07D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3.1 </w:t>
            </w:r>
            <w:r w:rsidR="0062629D">
              <w:rPr>
                <w:color w:val="000000" w:themeColor="text1"/>
              </w:rPr>
              <w:t>Dangers of Floods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A52DDD" w14:textId="77777777" w:rsidR="003A4324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668CE">
              <w:rPr>
                <w:color w:val="000000" w:themeColor="text1"/>
              </w:rPr>
              <w:t xml:space="preserve">What are the dangers of floods to people? </w:t>
            </w:r>
          </w:p>
          <w:p w14:paraId="2CF14BD7" w14:textId="407BC43D" w:rsidR="003A6274" w:rsidRPr="003A4324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668CE">
              <w:rPr>
                <w:color w:val="000000" w:themeColor="text1"/>
              </w:rPr>
              <w:t xml:space="preserve">What are good decisions and </w:t>
            </w:r>
            <w:r>
              <w:rPr>
                <w:color w:val="000000" w:themeColor="text1"/>
              </w:rPr>
              <w:t xml:space="preserve">safe </w:t>
            </w:r>
            <w:r w:rsidRPr="009668CE">
              <w:rPr>
                <w:color w:val="000000" w:themeColor="text1"/>
              </w:rPr>
              <w:t>choices in floods?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D5E392" w14:textId="4AE62927" w:rsidR="003A6274" w:rsidRPr="00270443" w:rsidRDefault="00232A93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0443">
              <w:rPr>
                <w:color w:val="000000" w:themeColor="text1"/>
              </w:rPr>
              <w:t>Visual representations –</w:t>
            </w:r>
            <w:r w:rsidR="003A4324" w:rsidRPr="00270443">
              <w:rPr>
                <w:color w:val="000000" w:themeColor="text1"/>
              </w:rPr>
              <w:t>videos, picture book</w:t>
            </w:r>
          </w:p>
          <w:p w14:paraId="3FF74E9F" w14:textId="55D61B68" w:rsidR="00232A93" w:rsidRPr="00270443" w:rsidRDefault="00232A93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443">
              <w:t xml:space="preserve">Worksheet </w:t>
            </w:r>
            <w:r w:rsidR="00270443" w:rsidRPr="00270443">
              <w:t>6</w:t>
            </w:r>
            <w:r w:rsidRPr="00270443">
              <w:t xml:space="preserve"> – </w:t>
            </w:r>
            <w:r w:rsidR="003A4324" w:rsidRPr="00270443">
              <w:t>wo</w:t>
            </w:r>
            <w:bookmarkStart w:id="0" w:name="_GoBack"/>
            <w:bookmarkEnd w:id="0"/>
            <w:r w:rsidR="003A4324" w:rsidRPr="00270443">
              <w:t>rd cloud</w:t>
            </w:r>
          </w:p>
        </w:tc>
      </w:tr>
      <w:tr w:rsidR="003A6274" w14:paraId="175C7690" w14:textId="77777777" w:rsidTr="003A432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437784F" w14:textId="77777777" w:rsidR="003A6274" w:rsidRDefault="003A6274" w:rsidP="003A4324">
            <w:pPr>
              <w:spacing w:after="120" w:line="240" w:lineRule="auto"/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F0F3FD9" w14:textId="79A73A08" w:rsidR="003A6274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3.</w:t>
            </w:r>
            <w:r w:rsidR="00232A93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="003A4324">
              <w:rPr>
                <w:color w:val="000000" w:themeColor="text1"/>
              </w:rPr>
              <w:t>Flood Choices Game Design Task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C5B1BAC" w14:textId="77777777" w:rsidR="003A4324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9A5">
              <w:rPr>
                <w:color w:val="000000" w:themeColor="text1"/>
              </w:rPr>
              <w:t xml:space="preserve">How should we prepare for floods? </w:t>
            </w:r>
          </w:p>
          <w:p w14:paraId="5B61E27A" w14:textId="77777777" w:rsidR="003A4324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9A5">
              <w:rPr>
                <w:color w:val="000000" w:themeColor="text1"/>
              </w:rPr>
              <w:t>How can we be flood ready?</w:t>
            </w:r>
            <w:r>
              <w:rPr>
                <w:color w:val="000000" w:themeColor="text1"/>
              </w:rPr>
              <w:t xml:space="preserve"> </w:t>
            </w:r>
          </w:p>
          <w:p w14:paraId="171136CF" w14:textId="712B2297" w:rsidR="003A6274" w:rsidRPr="00232A93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9A5">
              <w:rPr>
                <w:color w:val="000000" w:themeColor="text1"/>
              </w:rPr>
              <w:t xml:space="preserve">What are good decisions and </w:t>
            </w:r>
            <w:r w:rsidR="00CA0289">
              <w:rPr>
                <w:color w:val="000000" w:themeColor="text1"/>
              </w:rPr>
              <w:t xml:space="preserve">safe </w:t>
            </w:r>
            <w:r w:rsidRPr="002969A5">
              <w:rPr>
                <w:color w:val="000000" w:themeColor="text1"/>
              </w:rPr>
              <w:t>choices in floods?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1695CC" w14:textId="50052EDB" w:rsidR="003A6274" w:rsidRPr="00270443" w:rsidRDefault="003A627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0443">
              <w:rPr>
                <w:color w:val="000000" w:themeColor="text1"/>
              </w:rPr>
              <w:t xml:space="preserve">Visual representations – </w:t>
            </w:r>
            <w:r w:rsidR="003A4324" w:rsidRPr="00270443">
              <w:rPr>
                <w:color w:val="000000" w:themeColor="text1"/>
              </w:rPr>
              <w:t>photographs, drawings, role play, mime, games</w:t>
            </w:r>
          </w:p>
          <w:p w14:paraId="154F1EC7" w14:textId="11C8539A" w:rsidR="00232A93" w:rsidRPr="00270443" w:rsidRDefault="00232A93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70443">
              <w:rPr>
                <w:color w:val="000000" w:themeColor="text1"/>
              </w:rPr>
              <w:t xml:space="preserve">Worksheet </w:t>
            </w:r>
            <w:r w:rsidR="00270443" w:rsidRPr="00270443">
              <w:rPr>
                <w:color w:val="000000" w:themeColor="text1"/>
              </w:rPr>
              <w:t xml:space="preserve">7 </w:t>
            </w:r>
            <w:r w:rsidRPr="00270443">
              <w:rPr>
                <w:color w:val="000000" w:themeColor="text1"/>
              </w:rPr>
              <w:t xml:space="preserve">– </w:t>
            </w:r>
            <w:r w:rsidR="003A4324" w:rsidRPr="00270443">
              <w:rPr>
                <w:color w:val="000000" w:themeColor="text1"/>
              </w:rPr>
              <w:t>planning table</w:t>
            </w:r>
          </w:p>
        </w:tc>
      </w:tr>
      <w:tr w:rsidR="003A4324" w14:paraId="5F3B6513" w14:textId="77777777" w:rsidTr="003A627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3EB5D480" w14:textId="77777777" w:rsidR="003A4324" w:rsidRDefault="003A4324" w:rsidP="003A4324">
            <w:pPr>
              <w:spacing w:after="120" w:line="240" w:lineRule="auto"/>
            </w:pPr>
          </w:p>
        </w:tc>
        <w:tc>
          <w:tcPr>
            <w:tcW w:w="2729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60A5F615" w14:textId="711FEC49" w:rsidR="003A4324" w:rsidRDefault="003A432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 </w:t>
            </w:r>
            <w:r w:rsidR="004F2E6E">
              <w:rPr>
                <w:color w:val="000000" w:themeColor="text1"/>
              </w:rPr>
              <w:t>Flood Ready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59DE7DB0" w14:textId="491B0511" w:rsidR="003A4324" w:rsidRPr="00A71065" w:rsidRDefault="003A4324" w:rsidP="003A4324">
            <w:pPr>
              <w:pStyle w:val="ListParagraph"/>
              <w:numPr>
                <w:ilvl w:val="0"/>
                <w:numId w:val="22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668CE">
              <w:rPr>
                <w:color w:val="000000" w:themeColor="text1"/>
              </w:rPr>
              <w:t xml:space="preserve">How can we </w:t>
            </w:r>
            <w:r>
              <w:rPr>
                <w:color w:val="000000" w:themeColor="text1"/>
              </w:rPr>
              <w:t>promote</w:t>
            </w:r>
            <w:r w:rsidRPr="009668C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being prepared for flood</w:t>
            </w:r>
            <w:r w:rsidRPr="009668CE">
              <w:rPr>
                <w:color w:val="000000" w:themeColor="text1"/>
              </w:rPr>
              <w:t>?</w:t>
            </w:r>
          </w:p>
        </w:tc>
        <w:tc>
          <w:tcPr>
            <w:tcW w:w="2730" w:type="dxa"/>
            <w:tcBorders>
              <w:top w:val="single" w:sz="4" w:space="0" w:color="F2F2F2" w:themeColor="background1" w:themeShade="F2"/>
              <w:bottom w:val="single" w:sz="2" w:space="0" w:color="auto"/>
            </w:tcBorders>
          </w:tcPr>
          <w:p w14:paraId="47889EA8" w14:textId="5F4F60DE" w:rsidR="003A4324" w:rsidRDefault="003A4324" w:rsidP="003A432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representations – photographs</w:t>
            </w:r>
          </w:p>
        </w:tc>
      </w:tr>
    </w:tbl>
    <w:p w14:paraId="1D9CA180" w14:textId="1CEC79BA" w:rsidR="003A6274" w:rsidRDefault="003A6274" w:rsidP="003A6274"/>
    <w:sectPr w:rsidR="003A6274" w:rsidSect="00664A9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75" w:right="720" w:bottom="1490" w:left="720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8682" w14:textId="77777777" w:rsidR="00092B3F" w:rsidRDefault="00092B3F" w:rsidP="00446B8D">
      <w:r>
        <w:separator/>
      </w:r>
    </w:p>
    <w:p w14:paraId="392B2682" w14:textId="77777777" w:rsidR="00092B3F" w:rsidRDefault="00092B3F" w:rsidP="00446B8D"/>
  </w:endnote>
  <w:endnote w:type="continuationSeparator" w:id="0">
    <w:p w14:paraId="58A62881" w14:textId="77777777" w:rsidR="00092B3F" w:rsidRDefault="00092B3F" w:rsidP="00446B8D">
      <w:r>
        <w:continuationSeparator/>
      </w:r>
    </w:p>
    <w:p w14:paraId="796CC2D6" w14:textId="77777777" w:rsidR="00092B3F" w:rsidRDefault="00092B3F" w:rsidP="00446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evia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8234" w14:textId="03D0158C" w:rsidR="00572EA8" w:rsidRPr="00CE436E" w:rsidRDefault="00572EA8" w:rsidP="00CE436E">
    <w:pPr>
      <w:pStyle w:val="Footer"/>
      <w:spacing w:after="0"/>
      <w:jc w:val="center"/>
      <w:rPr>
        <w:color w:val="FFFFFF" w:themeColor="background1"/>
      </w:rPr>
    </w:pPr>
    <w:r w:rsidRPr="00CE436E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62336" behindDoc="1" locked="0" layoutInCell="1" allowOverlap="1" wp14:anchorId="78B3CBE4" wp14:editId="1E9BAE0C">
          <wp:simplePos x="0" y="0"/>
          <wp:positionH relativeFrom="column">
            <wp:posOffset>-221615</wp:posOffset>
          </wp:positionH>
          <wp:positionV relativeFrom="paragraph">
            <wp:posOffset>-181321</wp:posOffset>
          </wp:positionV>
          <wp:extent cx="480400" cy="519229"/>
          <wp:effectExtent l="0" t="0" r="254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waratah-nsw-government-reverse-p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400" cy="51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436E">
      <w:rPr>
        <w:color w:val="FFFFFF" w:themeColor="background1"/>
      </w:rPr>
      <w:t xml:space="preserve">Page </w:t>
    </w:r>
    <w:r w:rsidRPr="00CE436E">
      <w:rPr>
        <w:color w:val="FFFFFF" w:themeColor="background1"/>
      </w:rPr>
      <w:fldChar w:fldCharType="begin"/>
    </w:r>
    <w:r w:rsidRPr="00CE436E">
      <w:rPr>
        <w:color w:val="FFFFFF" w:themeColor="background1"/>
      </w:rPr>
      <w:instrText xml:space="preserve"> PAGE   \* MERGEFORMAT </w:instrText>
    </w:r>
    <w:r w:rsidRPr="00CE436E">
      <w:rPr>
        <w:color w:val="FFFFFF" w:themeColor="background1"/>
      </w:rPr>
      <w:fldChar w:fldCharType="separate"/>
    </w:r>
    <w:r w:rsidRPr="00CE436E">
      <w:rPr>
        <w:noProof/>
        <w:color w:val="FFFFFF" w:themeColor="background1"/>
      </w:rPr>
      <w:t>3</w:t>
    </w:r>
    <w:r w:rsidRPr="00CE436E">
      <w:rPr>
        <w:noProof/>
        <w:color w:val="FFFFFF" w:themeColor="background1"/>
      </w:rPr>
      <w:fldChar w:fldCharType="end"/>
    </w:r>
  </w:p>
  <w:p w14:paraId="21219678" w14:textId="77777777" w:rsidR="00572EA8" w:rsidRDefault="00572EA8" w:rsidP="00446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9FC8" w14:textId="77777777" w:rsidR="00572EA8" w:rsidRDefault="00572EA8" w:rsidP="00446B8D">
    <w:pPr>
      <w:pStyle w:val="Footer"/>
    </w:pPr>
    <w:r w:rsidRPr="006A5D59">
      <w:t xml:space="preserve">Document footer | Version | Page </w:t>
    </w:r>
    <w:r w:rsidRPr="006A5D59">
      <w:fldChar w:fldCharType="begin"/>
    </w:r>
    <w:r w:rsidRPr="006A5D59">
      <w:instrText xml:space="preserve"> PAGE   \* MERGEFORMAT </w:instrText>
    </w:r>
    <w:r w:rsidRPr="006A5D59">
      <w:fldChar w:fldCharType="separate"/>
    </w:r>
    <w:r>
      <w:rPr>
        <w:noProof/>
      </w:rPr>
      <w:t>1</w:t>
    </w:r>
    <w:r w:rsidRPr="006A5D59"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  <w:p w14:paraId="00097FA8" w14:textId="77777777" w:rsidR="00572EA8" w:rsidRDefault="00572EA8" w:rsidP="00446B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B1A7" w14:textId="77777777" w:rsidR="00092B3F" w:rsidRDefault="00092B3F" w:rsidP="00446B8D">
      <w:r>
        <w:separator/>
      </w:r>
    </w:p>
    <w:p w14:paraId="55FE148E" w14:textId="77777777" w:rsidR="00092B3F" w:rsidRDefault="00092B3F" w:rsidP="00446B8D"/>
  </w:footnote>
  <w:footnote w:type="continuationSeparator" w:id="0">
    <w:p w14:paraId="0E65845B" w14:textId="77777777" w:rsidR="00092B3F" w:rsidRDefault="00092B3F" w:rsidP="00446B8D">
      <w:r>
        <w:continuationSeparator/>
      </w:r>
    </w:p>
    <w:p w14:paraId="67935B9E" w14:textId="77777777" w:rsidR="00092B3F" w:rsidRDefault="00092B3F" w:rsidP="00446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ABE0" w14:textId="716FD4DA" w:rsidR="00572EA8" w:rsidRPr="00441CAF" w:rsidRDefault="00572EA8" w:rsidP="00860010">
    <w:pPr>
      <w:pStyle w:val="Header"/>
      <w:spacing w:after="0"/>
      <w:rPr>
        <w:rFonts w:ascii="Brevia" w:hAnsi="Brevia"/>
        <w:i/>
        <w:iCs/>
        <w:sz w:val="28"/>
        <w:szCs w:val="28"/>
      </w:rPr>
    </w:pPr>
    <w:r w:rsidRPr="00441CAF">
      <w:rPr>
        <w:noProof/>
        <w:sz w:val="28"/>
        <w:szCs w:val="28"/>
        <w:lang w:eastAsia="en-AU"/>
      </w:rPr>
      <w:drawing>
        <wp:anchor distT="0" distB="0" distL="114300" distR="114300" simplePos="0" relativeHeight="251661312" behindDoc="1" locked="0" layoutInCell="1" allowOverlap="1" wp14:anchorId="4510BB2E" wp14:editId="7DB324B6">
          <wp:simplePos x="0" y="0"/>
          <wp:positionH relativeFrom="page">
            <wp:posOffset>-45267</wp:posOffset>
          </wp:positionH>
          <wp:positionV relativeFrom="page">
            <wp:posOffset>-172016</wp:posOffset>
          </wp:positionV>
          <wp:extent cx="7620635" cy="10864159"/>
          <wp:effectExtent l="0" t="0" r="0" b="0"/>
          <wp:wrapNone/>
          <wp:docPr id="27" name="Picture 27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86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evia" w:hAnsi="Brevia"/>
        <w:i/>
        <w:iCs/>
        <w:sz w:val="28"/>
        <w:szCs w:val="28"/>
        <w:lang w:val="en-AU"/>
      </w:rPr>
      <w:t>Factors that Shape Places</w:t>
    </w:r>
  </w:p>
  <w:p w14:paraId="70139394" w14:textId="294EB2F6" w:rsidR="00572EA8" w:rsidRPr="001F7142" w:rsidRDefault="00572EA8" w:rsidP="00860010">
    <w:pPr>
      <w:pStyle w:val="Header"/>
      <w:spacing w:after="0"/>
      <w:rPr>
        <w:rFonts w:ascii="Brevia" w:hAnsi="Brevia"/>
        <w:sz w:val="28"/>
        <w:szCs w:val="28"/>
        <w:lang w:val="en-AU"/>
      </w:rPr>
    </w:pPr>
    <w:r>
      <w:rPr>
        <w:rFonts w:ascii="Brevia" w:hAnsi="Brevia"/>
        <w:sz w:val="28"/>
        <w:szCs w:val="28"/>
        <w:lang w:val="en-AU"/>
      </w:rPr>
      <w:t xml:space="preserve">Floods and People in the </w:t>
    </w:r>
    <w:r w:rsidRPr="00441CAF">
      <w:rPr>
        <w:rFonts w:ascii="Brevia" w:hAnsi="Brevia"/>
        <w:sz w:val="28"/>
        <w:szCs w:val="28"/>
      </w:rPr>
      <w:t>Hawkesbury-Nepean Valley</w:t>
    </w:r>
    <w:r>
      <w:rPr>
        <w:rFonts w:ascii="Brevia" w:hAnsi="Brevia"/>
        <w:sz w:val="28"/>
        <w:szCs w:val="28"/>
        <w:lang w:val="en-AU"/>
      </w:rPr>
      <w:t xml:space="preserve"> </w:t>
    </w:r>
  </w:p>
  <w:p w14:paraId="6820C55B" w14:textId="2438B6BF" w:rsidR="00572EA8" w:rsidRPr="00441CAF" w:rsidRDefault="00572EA8" w:rsidP="00860010">
    <w:pPr>
      <w:pStyle w:val="Header"/>
      <w:spacing w:after="0"/>
      <w:rPr>
        <w:rFonts w:ascii="Brevia" w:hAnsi="Brevia"/>
        <w:sz w:val="28"/>
        <w:szCs w:val="28"/>
      </w:rPr>
    </w:pPr>
    <w:r w:rsidRPr="00441CAF">
      <w:rPr>
        <w:rFonts w:ascii="Brevia" w:hAnsi="Brevia"/>
        <w:sz w:val="28"/>
        <w:szCs w:val="28"/>
      </w:rPr>
      <w:t xml:space="preserve">Stage </w:t>
    </w:r>
    <w:r>
      <w:rPr>
        <w:rFonts w:ascii="Brevia" w:hAnsi="Brevia"/>
        <w:sz w:val="28"/>
        <w:szCs w:val="28"/>
        <w:lang w:val="en-AU"/>
      </w:rPr>
      <w:t>3</w:t>
    </w:r>
    <w:r w:rsidRPr="00441CAF">
      <w:rPr>
        <w:rFonts w:ascii="Brevia" w:hAnsi="Brevia"/>
        <w:sz w:val="28"/>
        <w:szCs w:val="28"/>
      </w:rPr>
      <w:t xml:space="preserve"> Geography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1E32" w14:textId="77777777" w:rsidR="00572EA8" w:rsidRDefault="00572EA8" w:rsidP="00446B8D">
    <w:pPr>
      <w:pStyle w:val="Header"/>
    </w:pPr>
  </w:p>
  <w:p w14:paraId="402F4040" w14:textId="77777777" w:rsidR="00572EA8" w:rsidRDefault="00572EA8" w:rsidP="00446B8D">
    <w:pPr>
      <w:pStyle w:val="Header"/>
    </w:pPr>
  </w:p>
  <w:p w14:paraId="6FC0BA27" w14:textId="77777777" w:rsidR="00572EA8" w:rsidRPr="0070781E" w:rsidRDefault="00572EA8" w:rsidP="00446B8D">
    <w:pPr>
      <w:pStyle w:val="Header"/>
    </w:pPr>
    <w:r w:rsidRPr="0070781E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AC76D" wp14:editId="511199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20635" cy="10774045"/>
          <wp:effectExtent l="0" t="0" r="0" b="8255"/>
          <wp:wrapNone/>
          <wp:docPr id="29" name="Picture 29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77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81E">
      <w:t>Page Title</w:t>
    </w:r>
    <w:r w:rsidRPr="0070781E">
      <w:tab/>
    </w:r>
  </w:p>
  <w:p w14:paraId="6A06467D" w14:textId="77777777" w:rsidR="00572EA8" w:rsidRDefault="00572EA8" w:rsidP="00446B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B4F"/>
    <w:multiLevelType w:val="hybridMultilevel"/>
    <w:tmpl w:val="1BD89994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0EC2"/>
    <w:multiLevelType w:val="hybridMultilevel"/>
    <w:tmpl w:val="9176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73B"/>
    <w:multiLevelType w:val="hybridMultilevel"/>
    <w:tmpl w:val="8110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D28"/>
    <w:multiLevelType w:val="hybridMultilevel"/>
    <w:tmpl w:val="1242DAB2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2518D"/>
    <w:multiLevelType w:val="hybridMultilevel"/>
    <w:tmpl w:val="9BB260D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39BD"/>
    <w:multiLevelType w:val="hybridMultilevel"/>
    <w:tmpl w:val="66BC9EC2"/>
    <w:lvl w:ilvl="0" w:tplc="07603BB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8E1"/>
    <w:multiLevelType w:val="hybridMultilevel"/>
    <w:tmpl w:val="3F26ED8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2C53"/>
    <w:multiLevelType w:val="hybridMultilevel"/>
    <w:tmpl w:val="2E108BAA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296"/>
    <w:multiLevelType w:val="hybridMultilevel"/>
    <w:tmpl w:val="59800796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6DEE"/>
    <w:multiLevelType w:val="hybridMultilevel"/>
    <w:tmpl w:val="13A4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1E5"/>
    <w:multiLevelType w:val="hybridMultilevel"/>
    <w:tmpl w:val="6F3CF3A8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20880"/>
    <w:multiLevelType w:val="hybridMultilevel"/>
    <w:tmpl w:val="98DEE9C8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B22"/>
    <w:multiLevelType w:val="hybridMultilevel"/>
    <w:tmpl w:val="67DC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176"/>
    <w:multiLevelType w:val="hybridMultilevel"/>
    <w:tmpl w:val="7ACA3C96"/>
    <w:lvl w:ilvl="0" w:tplc="32E6F98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6CF6"/>
    <w:multiLevelType w:val="hybridMultilevel"/>
    <w:tmpl w:val="7FDEFDD0"/>
    <w:lvl w:ilvl="0" w:tplc="FA6A6B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E8"/>
    <w:multiLevelType w:val="hybridMultilevel"/>
    <w:tmpl w:val="F4D403EA"/>
    <w:lvl w:ilvl="0" w:tplc="C9BE1D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80FCE"/>
    <w:multiLevelType w:val="hybridMultilevel"/>
    <w:tmpl w:val="EBCA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52EE"/>
    <w:multiLevelType w:val="hybridMultilevel"/>
    <w:tmpl w:val="9602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03168"/>
    <w:multiLevelType w:val="hybridMultilevel"/>
    <w:tmpl w:val="1FCE727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A0766"/>
    <w:multiLevelType w:val="hybridMultilevel"/>
    <w:tmpl w:val="E6FCDEFC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C5F50"/>
    <w:multiLevelType w:val="hybridMultilevel"/>
    <w:tmpl w:val="B4BABE44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4D09"/>
    <w:multiLevelType w:val="hybridMultilevel"/>
    <w:tmpl w:val="24BA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35C80"/>
    <w:multiLevelType w:val="hybridMultilevel"/>
    <w:tmpl w:val="BC26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4146D"/>
    <w:multiLevelType w:val="hybridMultilevel"/>
    <w:tmpl w:val="9912C3DE"/>
    <w:lvl w:ilvl="0" w:tplc="C9BE1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16"/>
  </w:num>
  <w:num w:numId="8">
    <w:abstractNumId w:val="20"/>
  </w:num>
  <w:num w:numId="9">
    <w:abstractNumId w:val="9"/>
  </w:num>
  <w:num w:numId="10">
    <w:abstractNumId w:val="8"/>
  </w:num>
  <w:num w:numId="11">
    <w:abstractNumId w:val="18"/>
  </w:num>
  <w:num w:numId="12">
    <w:abstractNumId w:val="12"/>
  </w:num>
  <w:num w:numId="13">
    <w:abstractNumId w:val="19"/>
  </w:num>
  <w:num w:numId="14">
    <w:abstractNumId w:val="23"/>
  </w:num>
  <w:num w:numId="15">
    <w:abstractNumId w:val="21"/>
  </w:num>
  <w:num w:numId="16">
    <w:abstractNumId w:val="17"/>
  </w:num>
  <w:num w:numId="17">
    <w:abstractNumId w:val="1"/>
  </w:num>
  <w:num w:numId="18">
    <w:abstractNumId w:val="22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10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94"/>
    <w:rsid w:val="000061DD"/>
    <w:rsid w:val="00013B26"/>
    <w:rsid w:val="000401A3"/>
    <w:rsid w:val="000621F5"/>
    <w:rsid w:val="00066D17"/>
    <w:rsid w:val="00067AD1"/>
    <w:rsid w:val="00067D12"/>
    <w:rsid w:val="0009031D"/>
    <w:rsid w:val="0009088A"/>
    <w:rsid w:val="00092A4E"/>
    <w:rsid w:val="00092B3F"/>
    <w:rsid w:val="00092FBC"/>
    <w:rsid w:val="000B62F1"/>
    <w:rsid w:val="000B772A"/>
    <w:rsid w:val="000D2F75"/>
    <w:rsid w:val="00107801"/>
    <w:rsid w:val="00111AF4"/>
    <w:rsid w:val="00114DEB"/>
    <w:rsid w:val="001529D7"/>
    <w:rsid w:val="0017080D"/>
    <w:rsid w:val="00183FA5"/>
    <w:rsid w:val="0019641E"/>
    <w:rsid w:val="001A24F9"/>
    <w:rsid w:val="001A2736"/>
    <w:rsid w:val="001A7E78"/>
    <w:rsid w:val="001B2594"/>
    <w:rsid w:val="001C3B73"/>
    <w:rsid w:val="001C4B13"/>
    <w:rsid w:val="001D7242"/>
    <w:rsid w:val="001E7253"/>
    <w:rsid w:val="001F60ED"/>
    <w:rsid w:val="00206189"/>
    <w:rsid w:val="002136AC"/>
    <w:rsid w:val="00225484"/>
    <w:rsid w:val="00225720"/>
    <w:rsid w:val="00227CBC"/>
    <w:rsid w:val="00232A93"/>
    <w:rsid w:val="00270443"/>
    <w:rsid w:val="00270EDF"/>
    <w:rsid w:val="00273149"/>
    <w:rsid w:val="00276280"/>
    <w:rsid w:val="002A03D2"/>
    <w:rsid w:val="002A1C61"/>
    <w:rsid w:val="002A5FA9"/>
    <w:rsid w:val="002C4B83"/>
    <w:rsid w:val="002C548F"/>
    <w:rsid w:val="002D6A15"/>
    <w:rsid w:val="002E37E1"/>
    <w:rsid w:val="002F1D9A"/>
    <w:rsid w:val="002F2F62"/>
    <w:rsid w:val="002F4D68"/>
    <w:rsid w:val="00306C3A"/>
    <w:rsid w:val="003202DB"/>
    <w:rsid w:val="003372EF"/>
    <w:rsid w:val="0037268B"/>
    <w:rsid w:val="003878F0"/>
    <w:rsid w:val="003A4324"/>
    <w:rsid w:val="003A6274"/>
    <w:rsid w:val="003B6780"/>
    <w:rsid w:val="003C3D91"/>
    <w:rsid w:val="003D178A"/>
    <w:rsid w:val="003D5C42"/>
    <w:rsid w:val="003F2DDC"/>
    <w:rsid w:val="003F5D19"/>
    <w:rsid w:val="00400A19"/>
    <w:rsid w:val="00401DE2"/>
    <w:rsid w:val="00427B6E"/>
    <w:rsid w:val="00441CAF"/>
    <w:rsid w:val="00443657"/>
    <w:rsid w:val="004458FB"/>
    <w:rsid w:val="00446B8D"/>
    <w:rsid w:val="00452094"/>
    <w:rsid w:val="00463346"/>
    <w:rsid w:val="00471F46"/>
    <w:rsid w:val="004807BC"/>
    <w:rsid w:val="004A320A"/>
    <w:rsid w:val="004A6B57"/>
    <w:rsid w:val="004B78B8"/>
    <w:rsid w:val="004C028B"/>
    <w:rsid w:val="004C0B3A"/>
    <w:rsid w:val="004C4443"/>
    <w:rsid w:val="004E2C81"/>
    <w:rsid w:val="004F2E6E"/>
    <w:rsid w:val="004F6DA7"/>
    <w:rsid w:val="0052318F"/>
    <w:rsid w:val="00533681"/>
    <w:rsid w:val="0056474D"/>
    <w:rsid w:val="00570F03"/>
    <w:rsid w:val="00572EA8"/>
    <w:rsid w:val="0057711A"/>
    <w:rsid w:val="00580BA0"/>
    <w:rsid w:val="00582172"/>
    <w:rsid w:val="00584750"/>
    <w:rsid w:val="005C4F6C"/>
    <w:rsid w:val="005C7360"/>
    <w:rsid w:val="005D78F1"/>
    <w:rsid w:val="005F68EA"/>
    <w:rsid w:val="005F692B"/>
    <w:rsid w:val="005F69F2"/>
    <w:rsid w:val="006124F0"/>
    <w:rsid w:val="0062152D"/>
    <w:rsid w:val="0062629D"/>
    <w:rsid w:val="006262C5"/>
    <w:rsid w:val="00627721"/>
    <w:rsid w:val="00636563"/>
    <w:rsid w:val="0065797B"/>
    <w:rsid w:val="00664A92"/>
    <w:rsid w:val="00665DA4"/>
    <w:rsid w:val="00670C70"/>
    <w:rsid w:val="00696BA0"/>
    <w:rsid w:val="006A5D59"/>
    <w:rsid w:val="006B36B5"/>
    <w:rsid w:val="006B47CE"/>
    <w:rsid w:val="006F386E"/>
    <w:rsid w:val="006F5437"/>
    <w:rsid w:val="00702755"/>
    <w:rsid w:val="0070776E"/>
    <w:rsid w:val="0070781E"/>
    <w:rsid w:val="00717317"/>
    <w:rsid w:val="007350B0"/>
    <w:rsid w:val="00753CE1"/>
    <w:rsid w:val="00771F89"/>
    <w:rsid w:val="00773DB9"/>
    <w:rsid w:val="00781870"/>
    <w:rsid w:val="007A7B64"/>
    <w:rsid w:val="007B646F"/>
    <w:rsid w:val="007C5B0B"/>
    <w:rsid w:val="007C6763"/>
    <w:rsid w:val="007C7DFC"/>
    <w:rsid w:val="007D7413"/>
    <w:rsid w:val="007D7F5D"/>
    <w:rsid w:val="007E1933"/>
    <w:rsid w:val="007E1FC2"/>
    <w:rsid w:val="007F4631"/>
    <w:rsid w:val="00811362"/>
    <w:rsid w:val="008223D1"/>
    <w:rsid w:val="00823C1D"/>
    <w:rsid w:val="008312D5"/>
    <w:rsid w:val="00836378"/>
    <w:rsid w:val="00860010"/>
    <w:rsid w:val="0086598E"/>
    <w:rsid w:val="00874C13"/>
    <w:rsid w:val="00887DFA"/>
    <w:rsid w:val="00896484"/>
    <w:rsid w:val="008A0342"/>
    <w:rsid w:val="008A3E8C"/>
    <w:rsid w:val="008E5637"/>
    <w:rsid w:val="008F362D"/>
    <w:rsid w:val="00911CAF"/>
    <w:rsid w:val="00912ECA"/>
    <w:rsid w:val="00913E59"/>
    <w:rsid w:val="0091662C"/>
    <w:rsid w:val="009310DE"/>
    <w:rsid w:val="00931404"/>
    <w:rsid w:val="00935FF5"/>
    <w:rsid w:val="00954CB9"/>
    <w:rsid w:val="00963600"/>
    <w:rsid w:val="009732CD"/>
    <w:rsid w:val="00987CFD"/>
    <w:rsid w:val="009E2644"/>
    <w:rsid w:val="00A00B98"/>
    <w:rsid w:val="00A10E63"/>
    <w:rsid w:val="00A137C7"/>
    <w:rsid w:val="00A152D2"/>
    <w:rsid w:val="00A21EFD"/>
    <w:rsid w:val="00A40D8C"/>
    <w:rsid w:val="00A56E26"/>
    <w:rsid w:val="00A62816"/>
    <w:rsid w:val="00A63FA3"/>
    <w:rsid w:val="00A7085D"/>
    <w:rsid w:val="00A95648"/>
    <w:rsid w:val="00AA09E8"/>
    <w:rsid w:val="00AA66FD"/>
    <w:rsid w:val="00AE0AEC"/>
    <w:rsid w:val="00B0029F"/>
    <w:rsid w:val="00B065DE"/>
    <w:rsid w:val="00B222E8"/>
    <w:rsid w:val="00B37CF8"/>
    <w:rsid w:val="00B50346"/>
    <w:rsid w:val="00B7167F"/>
    <w:rsid w:val="00B8516F"/>
    <w:rsid w:val="00B9433A"/>
    <w:rsid w:val="00BA18EA"/>
    <w:rsid w:val="00BA20BD"/>
    <w:rsid w:val="00BA2354"/>
    <w:rsid w:val="00BA6142"/>
    <w:rsid w:val="00BD3AF8"/>
    <w:rsid w:val="00BF2E30"/>
    <w:rsid w:val="00C345E5"/>
    <w:rsid w:val="00C34A24"/>
    <w:rsid w:val="00C34D27"/>
    <w:rsid w:val="00C4051F"/>
    <w:rsid w:val="00C41419"/>
    <w:rsid w:val="00C46AE9"/>
    <w:rsid w:val="00C528B9"/>
    <w:rsid w:val="00C55E4C"/>
    <w:rsid w:val="00C77079"/>
    <w:rsid w:val="00C803FC"/>
    <w:rsid w:val="00C93567"/>
    <w:rsid w:val="00C96851"/>
    <w:rsid w:val="00CA0289"/>
    <w:rsid w:val="00CC2724"/>
    <w:rsid w:val="00CD5C73"/>
    <w:rsid w:val="00CE436E"/>
    <w:rsid w:val="00CE6EC5"/>
    <w:rsid w:val="00D04AA6"/>
    <w:rsid w:val="00D06A64"/>
    <w:rsid w:val="00D15BF7"/>
    <w:rsid w:val="00D41DD7"/>
    <w:rsid w:val="00D41E22"/>
    <w:rsid w:val="00D46605"/>
    <w:rsid w:val="00D62CCA"/>
    <w:rsid w:val="00D66EA4"/>
    <w:rsid w:val="00D67F57"/>
    <w:rsid w:val="00D7064B"/>
    <w:rsid w:val="00D773BB"/>
    <w:rsid w:val="00D9275A"/>
    <w:rsid w:val="00DC4221"/>
    <w:rsid w:val="00DD0F0C"/>
    <w:rsid w:val="00DD383C"/>
    <w:rsid w:val="00DE1241"/>
    <w:rsid w:val="00DE78D2"/>
    <w:rsid w:val="00E04690"/>
    <w:rsid w:val="00E24CD4"/>
    <w:rsid w:val="00E30BAE"/>
    <w:rsid w:val="00E44B6E"/>
    <w:rsid w:val="00E61F7F"/>
    <w:rsid w:val="00E71494"/>
    <w:rsid w:val="00E72900"/>
    <w:rsid w:val="00E8141F"/>
    <w:rsid w:val="00E85E1A"/>
    <w:rsid w:val="00EC29E9"/>
    <w:rsid w:val="00EE01BF"/>
    <w:rsid w:val="00EF0C85"/>
    <w:rsid w:val="00EF552B"/>
    <w:rsid w:val="00F00B60"/>
    <w:rsid w:val="00F06B37"/>
    <w:rsid w:val="00F1141D"/>
    <w:rsid w:val="00F148A3"/>
    <w:rsid w:val="00F34B4D"/>
    <w:rsid w:val="00F45754"/>
    <w:rsid w:val="00F6116F"/>
    <w:rsid w:val="00F666B7"/>
    <w:rsid w:val="00F67280"/>
    <w:rsid w:val="00F73BBD"/>
    <w:rsid w:val="00F80F32"/>
    <w:rsid w:val="00F83219"/>
    <w:rsid w:val="00F85A65"/>
    <w:rsid w:val="00F93311"/>
    <w:rsid w:val="00F97E0A"/>
    <w:rsid w:val="00FA253B"/>
    <w:rsid w:val="00FE24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A8944A"/>
  <w15:chartTrackingRefBased/>
  <w15:docId w15:val="{B5E586EF-0334-4919-BC9F-743D9942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31"/>
    <w:pPr>
      <w:spacing w:after="240" w:line="264" w:lineRule="auto"/>
    </w:pPr>
    <w:rPr>
      <w:rFonts w:ascii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8D"/>
    <w:pPr>
      <w:jc w:val="center"/>
      <w:outlineLvl w:val="0"/>
    </w:pPr>
    <w:rPr>
      <w:b/>
      <w:color w:val="1E3D7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76E"/>
    <w:pPr>
      <w:keepNext/>
      <w:keepLines/>
      <w:spacing w:after="120"/>
      <w:outlineLvl w:val="1"/>
    </w:pPr>
    <w:rPr>
      <w:rFonts w:eastAsiaTheme="majorEastAsia"/>
      <w:b/>
      <w:bCs/>
      <w:color w:val="1E3D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B0B"/>
    <w:pPr>
      <w:outlineLvl w:val="2"/>
    </w:pPr>
    <w:rPr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1529D7"/>
    <w:pPr>
      <w:tabs>
        <w:tab w:val="center" w:pos="4320"/>
        <w:tab w:val="right" w:pos="8640"/>
      </w:tabs>
      <w:spacing w:after="120"/>
    </w:pPr>
    <w:rPr>
      <w:rFonts w:ascii="Arial" w:hAnsi="Arial" w:cs="Arial"/>
      <w:b/>
      <w:color w:val="1E3D78"/>
      <w:lang w:val="x-none" w:eastAsia="x-none"/>
    </w:rPr>
  </w:style>
  <w:style w:type="character" w:customStyle="1" w:styleId="HeaderChar">
    <w:name w:val="Header Char"/>
    <w:link w:val="Header"/>
    <w:uiPriority w:val="99"/>
    <w:rsid w:val="001529D7"/>
    <w:rPr>
      <w:rFonts w:ascii="Arial" w:hAnsi="Arial" w:cs="Arial"/>
      <w:b/>
      <w:color w:val="1E3D7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66B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66B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666B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41"/>
  </w:style>
  <w:style w:type="character" w:customStyle="1" w:styleId="CommentTextChar">
    <w:name w:val="Comment Text Char"/>
    <w:link w:val="CommentText"/>
    <w:uiPriority w:val="99"/>
    <w:semiHidden/>
    <w:rsid w:val="00DE1241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1241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1A24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87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SWSESTableStyle1">
    <w:name w:val="NSW SES Table Style 1"/>
    <w:basedOn w:val="TableNormal"/>
    <w:uiPriority w:val="99"/>
    <w:rsid w:val="00446B8D"/>
    <w:rPr>
      <w:rFonts w:ascii="Arial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V w:val="single" w:sz="2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pPr>
        <w:jc w:val="left"/>
      </w:pPr>
      <w:rPr>
        <w:rFonts w:ascii="Arial" w:hAnsi="Arial"/>
        <w:sz w:val="20"/>
      </w:rPr>
      <w:tblPr/>
      <w:tcPr>
        <w:shd w:val="clear" w:color="auto" w:fill="1E3D78"/>
        <w:vAlign w:val="center"/>
      </w:tcPr>
    </w:tblStylePr>
    <w:tblStylePr w:type="firstCol">
      <w:tblPr/>
      <w:tcPr>
        <w:shd w:val="clear" w:color="auto" w:fill="E7E6E6" w:themeFill="background2"/>
      </w:tcPr>
    </w:tblStylePr>
  </w:style>
  <w:style w:type="paragraph" w:styleId="NormalWeb">
    <w:name w:val="Normal (Web)"/>
    <w:basedOn w:val="Normal"/>
    <w:uiPriority w:val="99"/>
    <w:unhideWhenUsed/>
    <w:rsid w:val="006A5D5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E436E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rsid w:val="00D06A64"/>
    <w:rPr>
      <w:rFonts w:ascii="Times New Roman" w:eastAsia="Times New Roman" w:hAnsi="Times New Roman"/>
      <w:sz w:val="22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06A64"/>
    <w:rPr>
      <w:rFonts w:ascii="Times New Roman" w:eastAsia="Times New Roman" w:hAnsi="Times New Roman"/>
      <w:sz w:val="22"/>
      <w:lang w:val="en-US"/>
    </w:rPr>
  </w:style>
  <w:style w:type="paragraph" w:styleId="Title">
    <w:name w:val="Title"/>
    <w:basedOn w:val="Normal"/>
    <w:next w:val="Normal"/>
    <w:link w:val="TitleChar"/>
    <w:rsid w:val="001B2594"/>
    <w:pPr>
      <w:keepNext/>
      <w:keepLines/>
      <w:spacing w:after="60" w:line="276" w:lineRule="auto"/>
    </w:pPr>
    <w:rPr>
      <w:rFonts w:eastAsia="Arial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rsid w:val="001B2594"/>
    <w:rPr>
      <w:rFonts w:ascii="Arial" w:eastAsia="Arial" w:hAnsi="Arial" w:cs="Arial"/>
      <w:sz w:val="52"/>
      <w:szCs w:val="5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AF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AF4"/>
    <w:rPr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11AF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46B8D"/>
    <w:rPr>
      <w:rFonts w:ascii="Arial" w:hAnsi="Arial" w:cs="Arial"/>
      <w:b/>
      <w:color w:val="1E3D78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0776E"/>
    <w:rPr>
      <w:rFonts w:ascii="Arial" w:eastAsiaTheme="majorEastAsia" w:hAnsi="Arial" w:cs="Arial"/>
      <w:b/>
      <w:bCs/>
      <w:color w:val="1E3D7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C5B0B"/>
    <w:rPr>
      <w:rFonts w:ascii="Arial" w:hAnsi="Arial" w:cs="Arial"/>
      <w:b/>
      <w:i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D1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66D17"/>
    <w:rPr>
      <w:rFonts w:ascii="Arial" w:hAnsi="Arial" w:cs="Arial"/>
      <w:i/>
      <w:iCs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066D17"/>
    <w:pPr>
      <w:spacing w:before="360" w:after="360"/>
      <w:ind w:left="864" w:right="864"/>
      <w:jc w:val="center"/>
    </w:pPr>
    <w:rPr>
      <w:i/>
      <w:iCs/>
      <w:color w:val="1E3D78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066D17"/>
    <w:rPr>
      <w:rFonts w:ascii="Arial" w:hAnsi="Arial" w:cs="Arial"/>
      <w:i/>
      <w:iCs/>
      <w:color w:val="1E3D7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887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71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1419"/>
    <w:rPr>
      <w:b/>
      <w:bCs/>
    </w:rPr>
  </w:style>
  <w:style w:type="character" w:styleId="Emphasis">
    <w:name w:val="Emphasis"/>
    <w:basedOn w:val="DefaultParagraphFont"/>
    <w:uiPriority w:val="20"/>
    <w:qFormat/>
    <w:rsid w:val="00C41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013500\Dropbox\Geography%20Project\Website%20-%20see%20Flooding%20in%20HNV%20-%20FOR%20REVIEW%20INSW%20also\Resources%20for%20website\Drafts\HN_Landing%20Page_template_NSW%20SES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F996-93FE-4F32-B69A-0BE6449A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HN_Landing Page_template_NSW SES MASTER</Template>
  <TotalTime>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Wisdom Graphic Design &amp; Advtsg</Company>
  <LinksUpToDate>false</LinksUpToDate>
  <CharactersWithSpaces>3834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http://www.sesbrandonline.com.au/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Carroll</dc:creator>
  <cp:keywords/>
  <dc:description/>
  <cp:lastModifiedBy>Dorothy Tran</cp:lastModifiedBy>
  <cp:revision>9</cp:revision>
  <cp:lastPrinted>2019-08-05T02:25:00Z</cp:lastPrinted>
  <dcterms:created xsi:type="dcterms:W3CDTF">2020-01-04T22:46:00Z</dcterms:created>
  <dcterms:modified xsi:type="dcterms:W3CDTF">2020-08-07T07:27:00Z</dcterms:modified>
</cp:coreProperties>
</file>